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5F4047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484C89">
        <w:rPr>
          <w:sz w:val="28"/>
          <w:szCs w:val="28"/>
        </w:rPr>
        <w:t>9</w:t>
      </w:r>
      <w:r w:rsidR="00CB7FC6">
        <w:rPr>
          <w:sz w:val="28"/>
          <w:szCs w:val="28"/>
        </w:rPr>
        <w:t>.</w:t>
      </w:r>
      <w:r w:rsidR="00484C89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362C94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D9726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9726B">
        <w:rPr>
          <w:sz w:val="28"/>
          <w:szCs w:val="28"/>
        </w:rPr>
        <w:t>1</w:t>
      </w:r>
      <w:r w:rsidR="00362C94">
        <w:rPr>
          <w:sz w:val="28"/>
          <w:szCs w:val="28"/>
        </w:rPr>
        <w:t xml:space="preserve"> </w:t>
      </w:r>
      <w:r w:rsidR="00B53014" w:rsidRPr="00774466">
        <w:rPr>
          <w:sz w:val="28"/>
          <w:szCs w:val="28"/>
        </w:rPr>
        <w:t xml:space="preserve"> 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Г.В. Бадаев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5F404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5F4047">
              <w:rPr>
                <w:rFonts w:cs="Calibri"/>
                <w:sz w:val="28"/>
                <w:szCs w:val="28"/>
              </w:rPr>
              <w:t>0</w:t>
            </w:r>
            <w:r w:rsidR="00484C89">
              <w:rPr>
                <w:rFonts w:cs="Calibri"/>
                <w:sz w:val="28"/>
                <w:szCs w:val="28"/>
              </w:rPr>
              <w:t>9</w:t>
            </w:r>
            <w:r>
              <w:rPr>
                <w:rFonts w:cs="Calibri"/>
                <w:sz w:val="28"/>
                <w:szCs w:val="28"/>
              </w:rPr>
              <w:t>.0</w:t>
            </w:r>
            <w:r w:rsidR="005F4047">
              <w:rPr>
                <w:rFonts w:cs="Calibri"/>
                <w:sz w:val="28"/>
                <w:szCs w:val="28"/>
              </w:rPr>
              <w:t>3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5F4047">
              <w:rPr>
                <w:rFonts w:cs="Calibri"/>
                <w:sz w:val="28"/>
                <w:szCs w:val="28"/>
              </w:rPr>
              <w:t>1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  <w:r w:rsidR="005F4047">
              <w:rPr>
                <w:rFonts w:cs="Calibri"/>
                <w:sz w:val="28"/>
                <w:szCs w:val="28"/>
              </w:rPr>
              <w:t>2</w:t>
            </w:r>
            <w:r w:rsidR="00D9726B">
              <w:rPr>
                <w:rFonts w:cs="Calibri"/>
                <w:sz w:val="28"/>
                <w:szCs w:val="28"/>
              </w:rPr>
              <w:t>1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5F4047">
        <w:rPr>
          <w:sz w:val="28"/>
          <w:szCs w:val="28"/>
        </w:rPr>
        <w:t>7</w:t>
      </w:r>
      <w:r w:rsidR="00B7242B" w:rsidRPr="00D9726B">
        <w:rPr>
          <w:sz w:val="28"/>
          <w:szCs w:val="28"/>
        </w:rPr>
        <w:t>.12.201</w:t>
      </w:r>
      <w:r w:rsidR="005F4047">
        <w:rPr>
          <w:sz w:val="28"/>
          <w:szCs w:val="28"/>
        </w:rPr>
        <w:t>9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5F4047">
        <w:rPr>
          <w:sz w:val="28"/>
          <w:szCs w:val="28"/>
        </w:rPr>
        <w:t>25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B7242B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sz w:val="28"/>
          <w:szCs w:val="28"/>
        </w:rPr>
        <w:t>Совершенствование муниципальной системы оповещения</w:t>
      </w:r>
      <w:r>
        <w:rPr>
          <w:sz w:val="28"/>
          <w:szCs w:val="28"/>
        </w:rPr>
        <w:t>.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P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улучшение системы информирования жителей поселения</w:t>
      </w:r>
      <w:r w:rsidRPr="00B032B8">
        <w:rPr>
          <w:bCs/>
          <w:sz w:val="28"/>
          <w:szCs w:val="28"/>
        </w:rPr>
        <w:t xml:space="preserve"> для своевременного доведения информации об угрозе и возникновении чрезвычайных ситуаций;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по плану составил </w:t>
      </w:r>
      <w:r w:rsidR="005F4047">
        <w:rPr>
          <w:sz w:val="28"/>
          <w:szCs w:val="28"/>
        </w:rPr>
        <w:t>38</w:t>
      </w:r>
      <w:r w:rsidRPr="008165EB">
        <w:rPr>
          <w:sz w:val="28"/>
          <w:szCs w:val="28"/>
        </w:rPr>
        <w:t>,</w:t>
      </w:r>
      <w:r w:rsidR="005F4047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тыс. руб., израсходовано </w:t>
      </w:r>
      <w:r w:rsidR="005F4047">
        <w:rPr>
          <w:sz w:val="28"/>
          <w:szCs w:val="28"/>
        </w:rPr>
        <w:t>38</w:t>
      </w:r>
      <w:r w:rsidRPr="008165EB">
        <w:rPr>
          <w:sz w:val="28"/>
          <w:szCs w:val="28"/>
        </w:rPr>
        <w:t>,</w:t>
      </w:r>
      <w:r w:rsidR="005F4047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тыс. руб. (99,</w:t>
      </w:r>
      <w:r w:rsidR="005F4047">
        <w:rPr>
          <w:sz w:val="28"/>
          <w:szCs w:val="28"/>
        </w:rPr>
        <w:t>9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5F4047">
        <w:rPr>
          <w:b/>
          <w:sz w:val="28"/>
          <w:szCs w:val="28"/>
        </w:rPr>
        <w:t>20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2. </w:t>
      </w:r>
      <w:r w:rsidRPr="00AF1717">
        <w:rPr>
          <w:kern w:val="2"/>
          <w:sz w:val="28"/>
          <w:szCs w:val="28"/>
          <w:lang w:eastAsia="en-US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kern w:val="2"/>
          <w:sz w:val="28"/>
          <w:szCs w:val="28"/>
          <w:lang w:eastAsia="en-US"/>
        </w:rPr>
        <w:t>, охваченного системой оповещения</w:t>
      </w:r>
      <w:r>
        <w:rPr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3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>Показатель 4.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значение показателя (индикатора) </w:t>
      </w:r>
      <w:r w:rsidR="004B528A">
        <w:rPr>
          <w:sz w:val="28"/>
          <w:szCs w:val="28"/>
        </w:rPr>
        <w:t>1</w:t>
      </w:r>
      <w:r w:rsidRPr="008165EB">
        <w:rPr>
          <w:sz w:val="28"/>
          <w:szCs w:val="28"/>
        </w:rPr>
        <w:t>.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равно 1,0</w:t>
      </w:r>
      <w:r w:rsidR="004B528A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5F4047">
        <w:rPr>
          <w:sz w:val="28"/>
          <w:szCs w:val="28"/>
        </w:rPr>
        <w:t>38</w:t>
      </w:r>
      <w:r w:rsidRPr="008165EB">
        <w:rPr>
          <w:sz w:val="28"/>
          <w:szCs w:val="28"/>
        </w:rPr>
        <w:t>,</w:t>
      </w:r>
      <w:r w:rsidR="005F4047">
        <w:rPr>
          <w:sz w:val="28"/>
          <w:szCs w:val="28"/>
        </w:rPr>
        <w:t>11</w:t>
      </w:r>
      <w:r w:rsidRPr="008165EB">
        <w:rPr>
          <w:sz w:val="28"/>
          <w:szCs w:val="28"/>
        </w:rPr>
        <w:t>/</w:t>
      </w:r>
      <w:r w:rsidR="005F4047">
        <w:rPr>
          <w:sz w:val="28"/>
          <w:szCs w:val="28"/>
        </w:rPr>
        <w:t>38</w:t>
      </w:r>
      <w:r w:rsidRPr="008165EB">
        <w:rPr>
          <w:sz w:val="28"/>
          <w:szCs w:val="28"/>
        </w:rPr>
        <w:t>,</w:t>
      </w:r>
      <w:r w:rsidR="005F4047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= 0,99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0,99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5F4047">
        <w:rPr>
          <w:kern w:val="2"/>
          <w:sz w:val="28"/>
          <w:szCs w:val="28"/>
        </w:rPr>
        <w:t>8</w:t>
      </w:r>
      <w:r w:rsidRPr="008165EB">
        <w:rPr>
          <w:kern w:val="2"/>
          <w:sz w:val="28"/>
          <w:szCs w:val="28"/>
        </w:rPr>
        <w:t>.12.20</w:t>
      </w:r>
      <w:r w:rsidR="005F4047">
        <w:rPr>
          <w:kern w:val="2"/>
          <w:sz w:val="28"/>
          <w:szCs w:val="28"/>
        </w:rPr>
        <w:t>20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</w:t>
      </w:r>
      <w:r w:rsidR="005F4047">
        <w:rPr>
          <w:kern w:val="2"/>
          <w:sz w:val="28"/>
          <w:szCs w:val="28"/>
        </w:rPr>
        <w:t>42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</w:t>
      </w:r>
      <w:r w:rsidR="005F4047">
        <w:rPr>
          <w:kern w:val="2"/>
          <w:sz w:val="28"/>
          <w:szCs w:val="28"/>
        </w:rPr>
        <w:t>1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5F4047">
        <w:rPr>
          <w:sz w:val="28"/>
          <w:szCs w:val="28"/>
        </w:rPr>
        <w:t>8</w:t>
      </w:r>
      <w:r w:rsidR="004B528A">
        <w:rPr>
          <w:sz w:val="28"/>
          <w:szCs w:val="28"/>
        </w:rPr>
        <w:t>.12.20</w:t>
      </w:r>
      <w:r w:rsidR="005F4047">
        <w:rPr>
          <w:sz w:val="28"/>
          <w:szCs w:val="28"/>
        </w:rPr>
        <w:t>20</w:t>
      </w:r>
      <w:r w:rsidR="004B528A">
        <w:rPr>
          <w:sz w:val="28"/>
          <w:szCs w:val="28"/>
        </w:rPr>
        <w:t xml:space="preserve"> № </w:t>
      </w:r>
      <w:r w:rsidR="005F4047">
        <w:rPr>
          <w:sz w:val="28"/>
          <w:szCs w:val="28"/>
        </w:rPr>
        <w:t>14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5F4047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 и на плановый период 202</w:t>
      </w:r>
      <w:r w:rsidR="005F4047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и 202</w:t>
      </w:r>
      <w:r w:rsidR="005F4047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5F4047">
        <w:rPr>
          <w:sz w:val="28"/>
          <w:szCs w:val="28"/>
        </w:rPr>
        <w:t>1</w:t>
      </w:r>
      <w:r w:rsidRPr="008165EB">
        <w:rPr>
          <w:sz w:val="28"/>
          <w:szCs w:val="28"/>
        </w:rPr>
        <w:t>-202</w:t>
      </w:r>
      <w:r w:rsidR="005F4047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20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1.2.</w:t>
            </w:r>
            <w:r w:rsidRPr="00AE388E">
              <w:rPr>
                <w:sz w:val="24"/>
                <w:szCs w:val="24"/>
              </w:rPr>
              <w:t xml:space="preserve"> Совершенствование муниципальной системы оповещения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AE388E" w:rsidRPr="00706018" w:rsidRDefault="00AE388E" w:rsidP="005F4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388E" w:rsidRPr="00AE388E" w:rsidRDefault="00AE388E" w:rsidP="00AE388E">
            <w:pPr>
              <w:pStyle w:val="ConsPlusCell"/>
            </w:pPr>
            <w:r w:rsidRPr="00AE388E">
              <w:rPr>
                <w:bCs/>
              </w:rPr>
              <w:t>Основное мероприятие 1.3.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477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88E" w:rsidRPr="00706018" w:rsidRDefault="00AE388E" w:rsidP="00477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AE388E" w:rsidRPr="00706018" w:rsidRDefault="00AE388E" w:rsidP="00477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20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2"/>
      </w:tblGrid>
      <w:tr w:rsidR="00214E33" w:rsidRPr="00706018" w:rsidTr="00214E33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214E33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3"/>
      </w:tblGrid>
      <w:tr w:rsidR="00214E33" w:rsidRPr="00706018" w:rsidTr="00214E33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1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D104E6" w:rsidP="00D1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D104E6" w:rsidP="00D1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D104E6" w:rsidP="00D1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214E33" w:rsidRPr="00706018" w:rsidTr="00214E33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1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  <w:jc w:val="center"/>
            </w:pPr>
            <w:r>
              <w:t>38</w:t>
            </w:r>
            <w:r w:rsidR="00C76476">
              <w:t>,</w:t>
            </w: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D104E6" w:rsidP="00D104E6">
            <w:pPr>
              <w:pStyle w:val="ConsPlusCell"/>
            </w:pPr>
            <w:r>
              <w:t>38</w:t>
            </w:r>
            <w:r w:rsidR="00C76476">
              <w:t>,</w:t>
            </w:r>
            <w:r>
              <w:t>1</w:t>
            </w:r>
          </w:p>
        </w:tc>
      </w:tr>
      <w:tr w:rsidR="00214E33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1.2.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>
              <w:t>Совершенствование муниципальной системы оповещения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1.3.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охваченного населения, оповещаемого 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4.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860" w:rsidRDefault="00BD4860">
      <w:r>
        <w:separator/>
      </w:r>
    </w:p>
  </w:endnote>
  <w:endnote w:type="continuationSeparator" w:id="0">
    <w:p w:rsidR="00BD4860" w:rsidRDefault="00BD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860" w:rsidRDefault="00BD4860">
      <w:r>
        <w:separator/>
      </w:r>
    </w:p>
  </w:footnote>
  <w:footnote w:type="continuationSeparator" w:id="0">
    <w:p w:rsidR="00BD4860" w:rsidRDefault="00BD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5743"/>
    <w:rsid w:val="002015E3"/>
    <w:rsid w:val="00203618"/>
    <w:rsid w:val="00204667"/>
    <w:rsid w:val="002052ED"/>
    <w:rsid w:val="00206936"/>
    <w:rsid w:val="00214E33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3351"/>
    <w:rsid w:val="006226EE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710071-7E53-4562-B97F-87014D86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14973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2025-07-27T10:38:00Z</dcterms:created>
  <dcterms:modified xsi:type="dcterms:W3CDTF">2025-07-27T10:38:00Z</dcterms:modified>
</cp:coreProperties>
</file>